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DF54" w14:textId="77777777" w:rsidR="00061263" w:rsidRPr="0096657C" w:rsidRDefault="00061263" w:rsidP="00061263">
      <w:pPr>
        <w:spacing w:after="0"/>
        <w:jc w:val="right"/>
        <w:rPr>
          <w:rFonts w:ascii="Times New Roman" w:hAnsi="Times New Roman"/>
          <w:sz w:val="22"/>
          <w:szCs w:val="22"/>
        </w:rPr>
      </w:pPr>
    </w:p>
    <w:p w14:paraId="22242897" w14:textId="6035DCA1" w:rsidR="0096657C" w:rsidRPr="009C7254" w:rsidRDefault="0096657C" w:rsidP="00061263">
      <w:pPr>
        <w:spacing w:after="0"/>
        <w:jc w:val="right"/>
        <w:rPr>
          <w:rFonts w:ascii="Times New Roman" w:hAnsi="Times New Roman"/>
          <w:sz w:val="22"/>
          <w:szCs w:val="22"/>
          <w:lang w:val="es-PR"/>
        </w:rPr>
      </w:pPr>
    </w:p>
    <w:p w14:paraId="0A73A42C" w14:textId="57FC4412" w:rsidR="0096657C" w:rsidRPr="0096657C" w:rsidRDefault="0096657C" w:rsidP="0096657C">
      <w:pPr>
        <w:shd w:val="clear" w:color="auto" w:fill="D9E2F3" w:themeFill="accent1" w:themeFillTint="33"/>
        <w:jc w:val="center"/>
        <w:rPr>
          <w:rFonts w:ascii="Times New Roman" w:hAnsi="Times New Roman"/>
          <w:b/>
          <w:bCs/>
          <w:smallCaps/>
          <w:lang w:val="es-PR"/>
        </w:rPr>
      </w:pPr>
      <w:r w:rsidRPr="0096657C">
        <w:rPr>
          <w:rFonts w:ascii="Times New Roman" w:hAnsi="Times New Roman"/>
          <w:b/>
          <w:bCs/>
          <w:smallCaps/>
          <w:lang w:val="es-PR"/>
        </w:rPr>
        <w:t>Plantilla para declarar un programa académico inactivo</w:t>
      </w:r>
      <w:r w:rsidR="00003348">
        <w:rPr>
          <w:rFonts w:ascii="Times New Roman" w:hAnsi="Times New Roman"/>
          <w:b/>
          <w:bCs/>
          <w:smallCaps/>
          <w:lang w:val="es-PR"/>
        </w:rPr>
        <w:t>,</w:t>
      </w:r>
      <w:r w:rsidRPr="0096657C">
        <w:rPr>
          <w:rFonts w:ascii="Times New Roman" w:hAnsi="Times New Roman"/>
          <w:b/>
          <w:bCs/>
          <w:smallCaps/>
          <w:lang w:val="es-PR"/>
        </w:rPr>
        <w:t xml:space="preserve"> en moratoria</w:t>
      </w:r>
      <w:r w:rsidR="00003348">
        <w:rPr>
          <w:rFonts w:ascii="Times New Roman" w:hAnsi="Times New Roman"/>
          <w:b/>
          <w:bCs/>
          <w:smallCaps/>
          <w:lang w:val="es-PR"/>
        </w:rPr>
        <w:t xml:space="preserve"> o cierre</w:t>
      </w:r>
    </w:p>
    <w:p w14:paraId="0D5DFA09" w14:textId="77777777" w:rsidR="0096657C" w:rsidRPr="0096657C" w:rsidRDefault="0096657C" w:rsidP="0096657C">
      <w:pPr>
        <w:spacing w:after="0"/>
        <w:rPr>
          <w:rFonts w:ascii="Times New Roman" w:hAnsi="Times New Roman"/>
          <w:sz w:val="22"/>
          <w:szCs w:val="22"/>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390"/>
      </w:tblGrid>
      <w:tr w:rsidR="00607DA4" w:rsidRPr="0096657C" w14:paraId="78F950FE" w14:textId="77777777" w:rsidTr="00FD23C8">
        <w:trPr>
          <w:trHeight w:val="432"/>
        </w:trPr>
        <w:tc>
          <w:tcPr>
            <w:tcW w:w="3960" w:type="dxa"/>
          </w:tcPr>
          <w:p w14:paraId="101AEA72" w14:textId="5BDB748C" w:rsidR="00607DA4" w:rsidRPr="0096657C" w:rsidRDefault="00607DA4" w:rsidP="00F925A9">
            <w:pPr>
              <w:rPr>
                <w:rFonts w:ascii="Times New Roman" w:hAnsi="Times New Roman"/>
                <w:b/>
                <w:bCs/>
                <w:smallCaps/>
                <w:sz w:val="22"/>
                <w:szCs w:val="22"/>
                <w:lang w:val="es-PR"/>
              </w:rPr>
            </w:pPr>
            <w:r w:rsidRPr="0096657C">
              <w:rPr>
                <w:rFonts w:ascii="Times New Roman" w:hAnsi="Times New Roman"/>
                <w:b/>
                <w:bCs/>
                <w:smallCaps/>
                <w:sz w:val="22"/>
                <w:szCs w:val="22"/>
                <w:lang w:val="es-PR"/>
              </w:rPr>
              <w:t>Unidad solicitante</w:t>
            </w:r>
          </w:p>
        </w:tc>
        <w:tc>
          <w:tcPr>
            <w:tcW w:w="5390" w:type="dxa"/>
            <w:tcBorders>
              <w:bottom w:val="single" w:sz="4" w:space="0" w:color="auto"/>
            </w:tcBorders>
          </w:tcPr>
          <w:p w14:paraId="73A0C02C" w14:textId="77777777" w:rsidR="00607DA4" w:rsidRPr="0096657C" w:rsidRDefault="00607DA4" w:rsidP="00FD23C8">
            <w:pPr>
              <w:rPr>
                <w:rFonts w:ascii="Times New Roman" w:hAnsi="Times New Roman"/>
                <w:b/>
                <w:bCs/>
                <w:sz w:val="22"/>
                <w:szCs w:val="22"/>
                <w:lang w:val="es-PR"/>
              </w:rPr>
            </w:pPr>
          </w:p>
        </w:tc>
      </w:tr>
      <w:tr w:rsidR="00607DA4" w:rsidRPr="0096657C" w14:paraId="212CAAD6" w14:textId="77777777" w:rsidTr="00FD23C8">
        <w:trPr>
          <w:trHeight w:val="432"/>
        </w:trPr>
        <w:tc>
          <w:tcPr>
            <w:tcW w:w="3960" w:type="dxa"/>
          </w:tcPr>
          <w:p w14:paraId="0FA5079A" w14:textId="4DB663A5" w:rsidR="00607DA4" w:rsidRPr="0096657C" w:rsidRDefault="00607DA4" w:rsidP="00F925A9">
            <w:pPr>
              <w:rPr>
                <w:rFonts w:ascii="Times New Roman" w:hAnsi="Times New Roman"/>
                <w:b/>
                <w:bCs/>
                <w:smallCaps/>
                <w:sz w:val="22"/>
                <w:szCs w:val="22"/>
                <w:lang w:val="es-PR"/>
              </w:rPr>
            </w:pPr>
            <w:r w:rsidRPr="0096657C">
              <w:rPr>
                <w:rFonts w:ascii="Times New Roman" w:hAnsi="Times New Roman"/>
                <w:b/>
                <w:bCs/>
                <w:smallCaps/>
                <w:sz w:val="22"/>
                <w:szCs w:val="22"/>
                <w:lang w:val="es-PR"/>
              </w:rPr>
              <w:t>Nombre del Programa Académico</w:t>
            </w:r>
          </w:p>
        </w:tc>
        <w:tc>
          <w:tcPr>
            <w:tcW w:w="5390" w:type="dxa"/>
            <w:tcBorders>
              <w:top w:val="single" w:sz="4" w:space="0" w:color="auto"/>
              <w:bottom w:val="single" w:sz="4" w:space="0" w:color="auto"/>
            </w:tcBorders>
          </w:tcPr>
          <w:p w14:paraId="49216501" w14:textId="77777777" w:rsidR="00607DA4" w:rsidRPr="0096657C" w:rsidRDefault="00607DA4" w:rsidP="00FD23C8">
            <w:pPr>
              <w:rPr>
                <w:rFonts w:ascii="Times New Roman" w:hAnsi="Times New Roman"/>
                <w:b/>
                <w:bCs/>
                <w:sz w:val="22"/>
                <w:szCs w:val="22"/>
                <w:lang w:val="es-PR"/>
              </w:rPr>
            </w:pPr>
          </w:p>
        </w:tc>
      </w:tr>
      <w:tr w:rsidR="00607DA4" w:rsidRPr="0096657C" w14:paraId="4C02B061" w14:textId="77777777" w:rsidTr="00FD23C8">
        <w:trPr>
          <w:trHeight w:val="432"/>
        </w:trPr>
        <w:tc>
          <w:tcPr>
            <w:tcW w:w="3960" w:type="dxa"/>
          </w:tcPr>
          <w:p w14:paraId="49A2948E" w14:textId="3914B0B6" w:rsidR="00607DA4" w:rsidRPr="0096657C" w:rsidRDefault="00607DA4" w:rsidP="00F925A9">
            <w:pPr>
              <w:rPr>
                <w:rFonts w:ascii="Times New Roman" w:hAnsi="Times New Roman"/>
                <w:b/>
                <w:bCs/>
                <w:smallCaps/>
                <w:sz w:val="22"/>
                <w:szCs w:val="22"/>
                <w:lang w:val="es-PR"/>
              </w:rPr>
            </w:pPr>
            <w:r w:rsidRPr="0096657C">
              <w:rPr>
                <w:rFonts w:ascii="Times New Roman" w:hAnsi="Times New Roman"/>
                <w:b/>
                <w:bCs/>
                <w:smallCaps/>
                <w:sz w:val="22"/>
                <w:szCs w:val="22"/>
                <w:lang w:val="es-PR"/>
              </w:rPr>
              <w:t>Grado Académico</w:t>
            </w:r>
          </w:p>
        </w:tc>
        <w:tc>
          <w:tcPr>
            <w:tcW w:w="5390" w:type="dxa"/>
            <w:tcBorders>
              <w:top w:val="single" w:sz="4" w:space="0" w:color="auto"/>
              <w:bottom w:val="single" w:sz="4" w:space="0" w:color="auto"/>
            </w:tcBorders>
          </w:tcPr>
          <w:p w14:paraId="7D29E9FE" w14:textId="77777777" w:rsidR="00607DA4" w:rsidRPr="0096657C" w:rsidRDefault="00607DA4" w:rsidP="00FD23C8">
            <w:pPr>
              <w:rPr>
                <w:rFonts w:ascii="Times New Roman" w:hAnsi="Times New Roman"/>
                <w:b/>
                <w:bCs/>
                <w:sz w:val="22"/>
                <w:szCs w:val="22"/>
                <w:lang w:val="es-PR"/>
              </w:rPr>
            </w:pPr>
          </w:p>
        </w:tc>
      </w:tr>
      <w:tr w:rsidR="00FD23C8" w:rsidRPr="0096657C" w14:paraId="4C5F7BFD" w14:textId="77777777" w:rsidTr="00FD23C8">
        <w:trPr>
          <w:trHeight w:val="432"/>
        </w:trPr>
        <w:tc>
          <w:tcPr>
            <w:tcW w:w="3960" w:type="dxa"/>
          </w:tcPr>
          <w:p w14:paraId="4C60BF5C" w14:textId="77741E20" w:rsidR="00FD23C8" w:rsidRPr="0096657C" w:rsidRDefault="00FD23C8" w:rsidP="00F925A9">
            <w:pPr>
              <w:rPr>
                <w:rFonts w:ascii="Times New Roman" w:hAnsi="Times New Roman"/>
                <w:b/>
                <w:bCs/>
                <w:smallCaps/>
                <w:sz w:val="22"/>
                <w:szCs w:val="22"/>
                <w:lang w:val="es-PR"/>
              </w:rPr>
            </w:pPr>
            <w:r w:rsidRPr="0096657C">
              <w:rPr>
                <w:rFonts w:ascii="Times New Roman" w:hAnsi="Times New Roman"/>
                <w:b/>
                <w:bCs/>
                <w:smallCaps/>
                <w:sz w:val="22"/>
                <w:szCs w:val="22"/>
                <w:lang w:val="es-PR"/>
              </w:rPr>
              <w:t>Código del Programa</w:t>
            </w:r>
          </w:p>
        </w:tc>
        <w:tc>
          <w:tcPr>
            <w:tcW w:w="5390" w:type="dxa"/>
            <w:tcBorders>
              <w:top w:val="single" w:sz="4" w:space="0" w:color="auto"/>
              <w:bottom w:val="single" w:sz="4" w:space="0" w:color="auto"/>
            </w:tcBorders>
          </w:tcPr>
          <w:p w14:paraId="3699FBD9" w14:textId="77777777" w:rsidR="00FD23C8" w:rsidRPr="0096657C" w:rsidRDefault="00FD23C8" w:rsidP="00FD23C8">
            <w:pPr>
              <w:rPr>
                <w:rFonts w:ascii="Times New Roman" w:hAnsi="Times New Roman"/>
                <w:b/>
                <w:bCs/>
                <w:sz w:val="22"/>
                <w:szCs w:val="22"/>
                <w:lang w:val="es-PR"/>
              </w:rPr>
            </w:pPr>
          </w:p>
        </w:tc>
      </w:tr>
    </w:tbl>
    <w:p w14:paraId="5742C020" w14:textId="10660A3C" w:rsidR="00607DA4" w:rsidRPr="0096657C" w:rsidRDefault="00607DA4" w:rsidP="00686B93">
      <w:pPr>
        <w:spacing w:after="0"/>
        <w:rPr>
          <w:rFonts w:ascii="Times New Roman" w:hAnsi="Times New Roman"/>
          <w:b/>
          <w:bCs/>
          <w:sz w:val="22"/>
          <w:szCs w:val="22"/>
        </w:rPr>
      </w:pPr>
    </w:p>
    <w:p w14:paraId="35A35047" w14:textId="77777777" w:rsidR="00686B93" w:rsidRPr="0096657C" w:rsidRDefault="00686B93" w:rsidP="00686B93">
      <w:pPr>
        <w:spacing w:after="0"/>
        <w:rPr>
          <w:rFonts w:ascii="Times New Roman" w:hAnsi="Times New Roman"/>
          <w:b/>
          <w:bCs/>
          <w:sz w:val="22"/>
          <w:szCs w:val="22"/>
        </w:rPr>
      </w:pPr>
    </w:p>
    <w:tbl>
      <w:tblPr>
        <w:tblStyle w:val="GridTable1Light"/>
        <w:tblW w:w="0" w:type="auto"/>
        <w:tblLook w:val="04A0" w:firstRow="1" w:lastRow="0" w:firstColumn="1" w:lastColumn="0" w:noHBand="0" w:noVBand="1"/>
      </w:tblPr>
      <w:tblGrid>
        <w:gridCol w:w="3960"/>
        <w:gridCol w:w="5390"/>
      </w:tblGrid>
      <w:tr w:rsidR="00686B93" w:rsidRPr="009C7254" w14:paraId="3918E14B" w14:textId="77777777" w:rsidTr="00003348">
        <w:trPr>
          <w:cnfStyle w:val="100000000000" w:firstRow="1" w:lastRow="0" w:firstColumn="0" w:lastColumn="0" w:oddVBand="0" w:evenVBand="0" w:oddHBand="0" w:evenHBand="0" w:firstRowFirstColumn="0" w:firstRowLastColumn="0" w:lastRowFirstColumn="0" w:lastRowLastColumn="0"/>
          <w:trHeight w:val="467"/>
          <w:tblHeader/>
        </w:trPr>
        <w:tc>
          <w:tcPr>
            <w:cnfStyle w:val="001000000000" w:firstRow="0" w:lastRow="0" w:firstColumn="1" w:lastColumn="0" w:oddVBand="0" w:evenVBand="0" w:oddHBand="0" w:evenHBand="0" w:firstRowFirstColumn="0" w:firstRowLastColumn="0" w:lastRowFirstColumn="0" w:lastRowLastColumn="0"/>
            <w:tcW w:w="3960" w:type="dxa"/>
            <w:shd w:val="clear" w:color="auto" w:fill="D9E2F3" w:themeFill="accent1" w:themeFillTint="33"/>
            <w:vAlign w:val="center"/>
          </w:tcPr>
          <w:p w14:paraId="04A71E6F" w14:textId="3FE0CA11" w:rsidR="00686B93" w:rsidRPr="00003348" w:rsidRDefault="00686B93" w:rsidP="00003348">
            <w:pPr>
              <w:pStyle w:val="ListParagraph"/>
              <w:ind w:left="360"/>
              <w:jc w:val="center"/>
              <w:rPr>
                <w:rFonts w:ascii="Times New Roman" w:hAnsi="Times New Roman"/>
                <w:sz w:val="22"/>
                <w:szCs w:val="22"/>
                <w:lang w:val="es-PR"/>
              </w:rPr>
            </w:pPr>
            <w:r w:rsidRPr="00003348">
              <w:rPr>
                <w:rFonts w:ascii="Times New Roman" w:eastAsia="Overlock" w:hAnsi="Times New Roman"/>
                <w:lang w:val="es-PR"/>
              </w:rPr>
              <w:t>Información Requerida</w:t>
            </w:r>
          </w:p>
        </w:tc>
        <w:tc>
          <w:tcPr>
            <w:tcW w:w="5390" w:type="dxa"/>
            <w:shd w:val="clear" w:color="auto" w:fill="D9E2F3" w:themeFill="accent1" w:themeFillTint="33"/>
            <w:vAlign w:val="center"/>
          </w:tcPr>
          <w:p w14:paraId="1A473715" w14:textId="0BDFEDD3" w:rsidR="00686B93" w:rsidRPr="00686B93" w:rsidRDefault="00686B93" w:rsidP="000033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s-PR"/>
              </w:rPr>
            </w:pPr>
            <w:r w:rsidRPr="00686B93">
              <w:rPr>
                <w:rFonts w:ascii="Times New Roman" w:eastAsia="Overlock" w:hAnsi="Times New Roman"/>
                <w:lang w:val="es-PR"/>
              </w:rPr>
              <w:t>Respuesta Provista por la Unidad</w:t>
            </w:r>
          </w:p>
        </w:tc>
      </w:tr>
      <w:tr w:rsidR="00607DA4" w:rsidRPr="009C7254" w14:paraId="169EA724" w14:textId="77777777" w:rsidTr="00686B93">
        <w:trPr>
          <w:trHeight w:val="890"/>
        </w:trPr>
        <w:tc>
          <w:tcPr>
            <w:cnfStyle w:val="001000000000" w:firstRow="0" w:lastRow="0" w:firstColumn="1" w:lastColumn="0" w:oddVBand="0" w:evenVBand="0" w:oddHBand="0" w:evenHBand="0" w:firstRowFirstColumn="0" w:firstRowLastColumn="0" w:lastRowFirstColumn="0" w:lastRowLastColumn="0"/>
            <w:tcW w:w="3960" w:type="dxa"/>
          </w:tcPr>
          <w:p w14:paraId="4F50CD69" w14:textId="158E96EA" w:rsidR="00607DA4" w:rsidRPr="00003348" w:rsidRDefault="00607DA4" w:rsidP="00686B93">
            <w:pPr>
              <w:pStyle w:val="ListParagraph"/>
              <w:numPr>
                <w:ilvl w:val="0"/>
                <w:numId w:val="1"/>
              </w:numPr>
              <w:jc w:val="both"/>
              <w:rPr>
                <w:rFonts w:ascii="Times New Roman" w:hAnsi="Times New Roman"/>
                <w:b w:val="0"/>
                <w:bCs w:val="0"/>
                <w:sz w:val="22"/>
                <w:szCs w:val="22"/>
                <w:lang w:val="es-PR"/>
              </w:rPr>
            </w:pPr>
            <w:r w:rsidRPr="00003348">
              <w:rPr>
                <w:rFonts w:ascii="Times New Roman" w:hAnsi="Times New Roman"/>
                <w:b w:val="0"/>
                <w:bCs w:val="0"/>
                <w:sz w:val="22"/>
                <w:szCs w:val="22"/>
                <w:lang w:val="es-PR"/>
              </w:rPr>
              <w:t>Resumen ejecutivo de la información provista, de no más de dos páginas</w:t>
            </w:r>
            <w:r w:rsidR="00F925A9" w:rsidRPr="00003348">
              <w:rPr>
                <w:rFonts w:ascii="Times New Roman" w:hAnsi="Times New Roman"/>
                <w:b w:val="0"/>
                <w:bCs w:val="0"/>
                <w:sz w:val="22"/>
                <w:szCs w:val="22"/>
                <w:lang w:val="es-PR"/>
              </w:rPr>
              <w:t xml:space="preserve"> (750 palabras aproximadamente).</w:t>
            </w:r>
          </w:p>
        </w:tc>
        <w:tc>
          <w:tcPr>
            <w:tcW w:w="5390" w:type="dxa"/>
          </w:tcPr>
          <w:p w14:paraId="69E523E3" w14:textId="619730B8" w:rsidR="00F925A9" w:rsidRPr="00FD23C8" w:rsidRDefault="00F925A9" w:rsidP="00FD23C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9C7254" w:rsidRPr="009C7254" w14:paraId="27121FFF" w14:textId="77777777" w:rsidTr="00003348">
        <w:trPr>
          <w:trHeight w:val="422"/>
        </w:trPr>
        <w:tc>
          <w:tcPr>
            <w:cnfStyle w:val="001000000000" w:firstRow="0" w:lastRow="0" w:firstColumn="1" w:lastColumn="0" w:oddVBand="0" w:evenVBand="0" w:oddHBand="0" w:evenHBand="0" w:firstRowFirstColumn="0" w:firstRowLastColumn="0" w:lastRowFirstColumn="0" w:lastRowLastColumn="0"/>
            <w:tcW w:w="3960" w:type="dxa"/>
          </w:tcPr>
          <w:p w14:paraId="4AEFD585" w14:textId="59521811" w:rsidR="009C7254" w:rsidRPr="00003348" w:rsidRDefault="009C7254" w:rsidP="00686B93">
            <w:pPr>
              <w:pStyle w:val="ListParagraph"/>
              <w:numPr>
                <w:ilvl w:val="0"/>
                <w:numId w:val="1"/>
              </w:numPr>
              <w:jc w:val="both"/>
              <w:rPr>
                <w:rFonts w:ascii="Times New Roman" w:hAnsi="Times New Roman"/>
                <w:b w:val="0"/>
                <w:bCs w:val="0"/>
                <w:sz w:val="22"/>
                <w:szCs w:val="22"/>
                <w:lang w:val="es-PR"/>
              </w:rPr>
            </w:pPr>
            <w:r w:rsidRPr="00003348">
              <w:rPr>
                <w:rFonts w:ascii="Times New Roman" w:eastAsia="Overlock" w:hAnsi="Times New Roman"/>
                <w:b w:val="0"/>
                <w:bCs w:val="0"/>
                <w:sz w:val="22"/>
                <w:szCs w:val="22"/>
                <w:lang w:val="es-PR"/>
              </w:rPr>
              <w:t>Código y nombre del ofrecimiento</w:t>
            </w:r>
          </w:p>
        </w:tc>
        <w:tc>
          <w:tcPr>
            <w:tcW w:w="5390" w:type="dxa"/>
          </w:tcPr>
          <w:p w14:paraId="6DDF3571" w14:textId="77777777" w:rsidR="009C7254" w:rsidRPr="00FD23C8" w:rsidRDefault="009C7254" w:rsidP="00FD23C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607DA4" w:rsidRPr="009C7254" w14:paraId="6172817E" w14:textId="77777777" w:rsidTr="00686B93">
        <w:trPr>
          <w:trHeight w:val="620"/>
        </w:trPr>
        <w:tc>
          <w:tcPr>
            <w:cnfStyle w:val="001000000000" w:firstRow="0" w:lastRow="0" w:firstColumn="1" w:lastColumn="0" w:oddVBand="0" w:evenVBand="0" w:oddHBand="0" w:evenHBand="0" w:firstRowFirstColumn="0" w:firstRowLastColumn="0" w:lastRowFirstColumn="0" w:lastRowLastColumn="0"/>
            <w:tcW w:w="3960" w:type="dxa"/>
          </w:tcPr>
          <w:p w14:paraId="3026CF33" w14:textId="0032CF28" w:rsidR="00607DA4" w:rsidRPr="00003348" w:rsidRDefault="00607DA4" w:rsidP="00361AEA">
            <w:pPr>
              <w:pStyle w:val="ListParagraph"/>
              <w:numPr>
                <w:ilvl w:val="0"/>
                <w:numId w:val="1"/>
              </w:numPr>
              <w:jc w:val="both"/>
              <w:rPr>
                <w:rFonts w:ascii="Times New Roman" w:hAnsi="Times New Roman"/>
                <w:b w:val="0"/>
                <w:bCs w:val="0"/>
                <w:sz w:val="22"/>
                <w:szCs w:val="22"/>
                <w:lang w:val="es-PR"/>
              </w:rPr>
            </w:pPr>
            <w:r w:rsidRPr="00003348">
              <w:rPr>
                <w:rFonts w:ascii="Times New Roman" w:hAnsi="Times New Roman"/>
                <w:b w:val="0"/>
                <w:bCs w:val="0"/>
                <w:sz w:val="22"/>
                <w:szCs w:val="22"/>
                <w:lang w:val="es-PR"/>
              </w:rPr>
              <w:t>Fecha en que se efectuó o c</w:t>
            </w:r>
            <w:r w:rsidR="00FD23C8" w:rsidRPr="00003348">
              <w:rPr>
                <w:rFonts w:ascii="Times New Roman" w:hAnsi="Times New Roman"/>
                <w:b w:val="0"/>
                <w:bCs w:val="0"/>
                <w:sz w:val="22"/>
                <w:szCs w:val="22"/>
                <w:lang w:val="es-PR"/>
              </w:rPr>
              <w:t>ontempla detener la admisión de estudiantes.</w:t>
            </w:r>
          </w:p>
        </w:tc>
        <w:tc>
          <w:tcPr>
            <w:tcW w:w="5390" w:type="dxa"/>
          </w:tcPr>
          <w:p w14:paraId="5BE7AA06" w14:textId="77777777" w:rsidR="00607DA4" w:rsidRPr="00FD23C8" w:rsidRDefault="00607DA4" w:rsidP="00607DA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686B93" w:rsidRPr="009C7254" w14:paraId="02067C49" w14:textId="77777777" w:rsidTr="00003348">
        <w:trPr>
          <w:trHeight w:val="1880"/>
        </w:trPr>
        <w:tc>
          <w:tcPr>
            <w:cnfStyle w:val="001000000000" w:firstRow="0" w:lastRow="0" w:firstColumn="1" w:lastColumn="0" w:oddVBand="0" w:evenVBand="0" w:oddHBand="0" w:evenHBand="0" w:firstRowFirstColumn="0" w:firstRowLastColumn="0" w:lastRowFirstColumn="0" w:lastRowLastColumn="0"/>
            <w:tcW w:w="3960" w:type="dxa"/>
          </w:tcPr>
          <w:p w14:paraId="00DEAC66" w14:textId="1C365D71" w:rsidR="00686B93" w:rsidRPr="00003348" w:rsidRDefault="00686B93" w:rsidP="00361AEA">
            <w:pPr>
              <w:pStyle w:val="ListParagraph"/>
              <w:numPr>
                <w:ilvl w:val="0"/>
                <w:numId w:val="1"/>
              </w:numPr>
              <w:jc w:val="both"/>
              <w:rPr>
                <w:rFonts w:ascii="Times New Roman" w:hAnsi="Times New Roman"/>
                <w:b w:val="0"/>
                <w:bCs w:val="0"/>
                <w:sz w:val="22"/>
                <w:szCs w:val="22"/>
                <w:lang w:val="es-PR"/>
              </w:rPr>
            </w:pPr>
            <w:r w:rsidRPr="00003348">
              <w:rPr>
                <w:rFonts w:ascii="Times New Roman" w:hAnsi="Times New Roman"/>
                <w:b w:val="0"/>
                <w:bCs w:val="0"/>
                <w:sz w:val="22"/>
                <w:szCs w:val="22"/>
                <w:lang w:val="es-PR"/>
              </w:rPr>
              <w:t>Razones por las cuales se solicita la inactivación; breve descripción del proceso de evaluación utilizado y sus hallazgos; análisis de cómo los hallazgos sustentan la determinación, y afinidad de esta acción con la planificación de la unidad.</w:t>
            </w:r>
          </w:p>
        </w:tc>
        <w:tc>
          <w:tcPr>
            <w:tcW w:w="5390" w:type="dxa"/>
            <w:vMerge w:val="restart"/>
          </w:tcPr>
          <w:p w14:paraId="79886E90" w14:textId="77777777" w:rsidR="00686B93" w:rsidRPr="00FD23C8" w:rsidRDefault="00686B93" w:rsidP="00607DA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686B93" w:rsidRPr="009C7254" w14:paraId="294FBDB6" w14:textId="77777777" w:rsidTr="00003348">
        <w:trPr>
          <w:trHeight w:val="1070"/>
        </w:trPr>
        <w:tc>
          <w:tcPr>
            <w:cnfStyle w:val="001000000000" w:firstRow="0" w:lastRow="0" w:firstColumn="1" w:lastColumn="0" w:oddVBand="0" w:evenVBand="0" w:oddHBand="0" w:evenHBand="0" w:firstRowFirstColumn="0" w:firstRowLastColumn="0" w:lastRowFirstColumn="0" w:lastRowLastColumn="0"/>
            <w:tcW w:w="3960" w:type="dxa"/>
          </w:tcPr>
          <w:p w14:paraId="4DDA9FCF" w14:textId="743BCC67" w:rsidR="00686B93" w:rsidRPr="00003348" w:rsidRDefault="00686B93" w:rsidP="009C7254">
            <w:pPr>
              <w:ind w:left="330"/>
              <w:jc w:val="both"/>
              <w:rPr>
                <w:rFonts w:ascii="Times New Roman" w:hAnsi="Times New Roman"/>
                <w:b w:val="0"/>
                <w:bCs w:val="0"/>
                <w:sz w:val="22"/>
                <w:szCs w:val="22"/>
                <w:lang w:val="es-PR"/>
              </w:rPr>
            </w:pPr>
            <w:r w:rsidRPr="00003348">
              <w:rPr>
                <w:rFonts w:ascii="Times New Roman" w:hAnsi="Times New Roman"/>
                <w:b w:val="0"/>
                <w:bCs w:val="0"/>
                <w:sz w:val="22"/>
                <w:szCs w:val="22"/>
                <w:lang w:val="es-PR"/>
              </w:rPr>
              <w:t>El proceso de evaluación y toma de decisiones utilizado deberá evidenciar la consideración de los siguientes elementos mínimos:</w:t>
            </w:r>
          </w:p>
        </w:tc>
        <w:tc>
          <w:tcPr>
            <w:tcW w:w="5390" w:type="dxa"/>
            <w:vMerge/>
          </w:tcPr>
          <w:p w14:paraId="5731B73F" w14:textId="77777777" w:rsidR="00686B93" w:rsidRPr="00FD23C8" w:rsidRDefault="00686B93" w:rsidP="00607DA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686B93" w:rsidRPr="009C7254" w14:paraId="469DE2B0" w14:textId="77777777" w:rsidTr="00686B93">
        <w:tc>
          <w:tcPr>
            <w:cnfStyle w:val="001000000000" w:firstRow="0" w:lastRow="0" w:firstColumn="1" w:lastColumn="0" w:oddVBand="0" w:evenVBand="0" w:oddHBand="0" w:evenHBand="0" w:firstRowFirstColumn="0" w:firstRowLastColumn="0" w:lastRowFirstColumn="0" w:lastRowLastColumn="0"/>
            <w:tcW w:w="3960" w:type="dxa"/>
          </w:tcPr>
          <w:p w14:paraId="732DB014" w14:textId="7FBD3A3A" w:rsidR="00686B93" w:rsidRPr="00003348" w:rsidRDefault="00003348" w:rsidP="00003348">
            <w:pPr>
              <w:pStyle w:val="ListParagraph"/>
              <w:numPr>
                <w:ilvl w:val="0"/>
                <w:numId w:val="10"/>
              </w:numPr>
              <w:ind w:left="690"/>
              <w:jc w:val="both"/>
              <w:rPr>
                <w:rFonts w:ascii="Times New Roman" w:hAnsi="Times New Roman"/>
                <w:b w:val="0"/>
                <w:bCs w:val="0"/>
                <w:sz w:val="22"/>
                <w:szCs w:val="22"/>
                <w:lang w:val="es-PR"/>
              </w:rPr>
            </w:pPr>
            <w:r>
              <w:rPr>
                <w:rFonts w:ascii="Times New Roman" w:hAnsi="Times New Roman"/>
                <w:b w:val="0"/>
                <w:bCs w:val="0"/>
                <w:sz w:val="22"/>
                <w:szCs w:val="22"/>
                <w:lang w:val="es-PR"/>
              </w:rPr>
              <w:t>i</w:t>
            </w:r>
            <w:r w:rsidR="00686B93" w:rsidRPr="00003348">
              <w:rPr>
                <w:rFonts w:ascii="Times New Roman" w:hAnsi="Times New Roman"/>
                <w:b w:val="0"/>
                <w:bCs w:val="0"/>
                <w:sz w:val="22"/>
                <w:szCs w:val="22"/>
                <w:lang w:val="es-PR"/>
              </w:rPr>
              <w:t>ndicadores de demanda y efectividad, t</w:t>
            </w:r>
          </w:p>
        </w:tc>
        <w:tc>
          <w:tcPr>
            <w:tcW w:w="5390" w:type="dxa"/>
            <w:vMerge/>
          </w:tcPr>
          <w:p w14:paraId="3AC8DB9D" w14:textId="77777777" w:rsidR="00686B93" w:rsidRPr="00FD23C8" w:rsidRDefault="00686B93" w:rsidP="00607DA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686B93" w:rsidRPr="009C7254" w14:paraId="0BD2C74B" w14:textId="77777777" w:rsidTr="00686B93">
        <w:tc>
          <w:tcPr>
            <w:cnfStyle w:val="001000000000" w:firstRow="0" w:lastRow="0" w:firstColumn="1" w:lastColumn="0" w:oddVBand="0" w:evenVBand="0" w:oddHBand="0" w:evenHBand="0" w:firstRowFirstColumn="0" w:firstRowLastColumn="0" w:lastRowFirstColumn="0" w:lastRowLastColumn="0"/>
            <w:tcW w:w="3960" w:type="dxa"/>
          </w:tcPr>
          <w:p w14:paraId="320E4CCF" w14:textId="6FCE444F" w:rsidR="00686B93" w:rsidRPr="00003348" w:rsidRDefault="00003348" w:rsidP="00003348">
            <w:pPr>
              <w:pStyle w:val="ListParagraph"/>
              <w:numPr>
                <w:ilvl w:val="0"/>
                <w:numId w:val="9"/>
              </w:numPr>
              <w:jc w:val="both"/>
              <w:rPr>
                <w:rFonts w:ascii="Times New Roman" w:hAnsi="Times New Roman"/>
                <w:b w:val="0"/>
                <w:bCs w:val="0"/>
                <w:sz w:val="22"/>
                <w:szCs w:val="22"/>
                <w:lang w:val="es-PR"/>
              </w:rPr>
            </w:pPr>
            <w:r>
              <w:rPr>
                <w:rFonts w:ascii="Times New Roman" w:hAnsi="Times New Roman"/>
                <w:b w:val="0"/>
                <w:bCs w:val="0"/>
                <w:sz w:val="22"/>
                <w:szCs w:val="22"/>
                <w:lang w:val="es-PR"/>
              </w:rPr>
              <w:t>i</w:t>
            </w:r>
            <w:r w:rsidR="00686B93" w:rsidRPr="00003348">
              <w:rPr>
                <w:rFonts w:ascii="Times New Roman" w:hAnsi="Times New Roman"/>
                <w:b w:val="0"/>
                <w:bCs w:val="0"/>
                <w:sz w:val="22"/>
                <w:szCs w:val="22"/>
                <w:lang w:val="es-PR"/>
              </w:rPr>
              <w:t xml:space="preserve">ndicadores de suficiencia de recursos, tales </w:t>
            </w:r>
          </w:p>
        </w:tc>
        <w:tc>
          <w:tcPr>
            <w:tcW w:w="5390" w:type="dxa"/>
            <w:vMerge/>
          </w:tcPr>
          <w:p w14:paraId="69A576FD" w14:textId="77777777" w:rsidR="00686B93" w:rsidRPr="00FD23C8" w:rsidRDefault="00686B93" w:rsidP="00607DA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686B93" w:rsidRPr="009C7254" w14:paraId="654159EF" w14:textId="77777777" w:rsidTr="00686B93">
        <w:trPr>
          <w:trHeight w:val="557"/>
        </w:trPr>
        <w:tc>
          <w:tcPr>
            <w:cnfStyle w:val="001000000000" w:firstRow="0" w:lastRow="0" w:firstColumn="1" w:lastColumn="0" w:oddVBand="0" w:evenVBand="0" w:oddHBand="0" w:evenHBand="0" w:firstRowFirstColumn="0" w:firstRowLastColumn="0" w:lastRowFirstColumn="0" w:lastRowLastColumn="0"/>
            <w:tcW w:w="3960" w:type="dxa"/>
          </w:tcPr>
          <w:p w14:paraId="303433A2" w14:textId="6EA242F0" w:rsidR="00686B93" w:rsidRPr="00003348" w:rsidRDefault="00003348" w:rsidP="00003348">
            <w:pPr>
              <w:pStyle w:val="ListParagraph"/>
              <w:numPr>
                <w:ilvl w:val="0"/>
                <w:numId w:val="9"/>
              </w:numPr>
              <w:jc w:val="both"/>
              <w:rPr>
                <w:rFonts w:ascii="Times New Roman" w:hAnsi="Times New Roman"/>
                <w:b w:val="0"/>
                <w:bCs w:val="0"/>
                <w:sz w:val="22"/>
                <w:szCs w:val="22"/>
                <w:lang w:val="es-PR"/>
              </w:rPr>
            </w:pPr>
            <w:r>
              <w:rPr>
                <w:rFonts w:ascii="Times New Roman" w:hAnsi="Times New Roman"/>
                <w:b w:val="0"/>
                <w:bCs w:val="0"/>
                <w:sz w:val="22"/>
                <w:szCs w:val="22"/>
                <w:lang w:val="es-PR"/>
              </w:rPr>
              <w:t>i</w:t>
            </w:r>
            <w:r w:rsidR="00686B93" w:rsidRPr="00003348">
              <w:rPr>
                <w:rFonts w:ascii="Times New Roman" w:hAnsi="Times New Roman"/>
                <w:b w:val="0"/>
                <w:bCs w:val="0"/>
                <w:sz w:val="22"/>
                <w:szCs w:val="22"/>
                <w:lang w:val="es-PR"/>
              </w:rPr>
              <w:t>nsumo del departamento o facultad.</w:t>
            </w:r>
          </w:p>
        </w:tc>
        <w:tc>
          <w:tcPr>
            <w:tcW w:w="5390" w:type="dxa"/>
            <w:vMerge/>
          </w:tcPr>
          <w:p w14:paraId="5DAD87D8" w14:textId="77777777" w:rsidR="00686B93" w:rsidRPr="00FD23C8" w:rsidRDefault="00686B93" w:rsidP="00607DA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361AEA" w:rsidRPr="009C7254" w14:paraId="4D9B3967" w14:textId="77777777" w:rsidTr="00686B93">
        <w:trPr>
          <w:trHeight w:val="908"/>
        </w:trPr>
        <w:tc>
          <w:tcPr>
            <w:cnfStyle w:val="001000000000" w:firstRow="0" w:lastRow="0" w:firstColumn="1" w:lastColumn="0" w:oddVBand="0" w:evenVBand="0" w:oddHBand="0" w:evenHBand="0" w:firstRowFirstColumn="0" w:firstRowLastColumn="0" w:lastRowFirstColumn="0" w:lastRowLastColumn="0"/>
            <w:tcW w:w="3960" w:type="dxa"/>
          </w:tcPr>
          <w:p w14:paraId="1C0D9AF5" w14:textId="655A54CE" w:rsidR="00361AEA" w:rsidRPr="00003348" w:rsidRDefault="00361AEA" w:rsidP="00242879">
            <w:pPr>
              <w:pStyle w:val="ListParagraph"/>
              <w:numPr>
                <w:ilvl w:val="0"/>
                <w:numId w:val="4"/>
              </w:numPr>
              <w:jc w:val="both"/>
              <w:rPr>
                <w:rFonts w:ascii="Times New Roman" w:hAnsi="Times New Roman"/>
                <w:b w:val="0"/>
                <w:bCs w:val="0"/>
                <w:sz w:val="22"/>
                <w:szCs w:val="22"/>
                <w:lang w:val="es-PR"/>
              </w:rPr>
            </w:pPr>
            <w:r w:rsidRPr="00003348">
              <w:rPr>
                <w:rFonts w:ascii="Times New Roman" w:hAnsi="Times New Roman"/>
                <w:b w:val="0"/>
                <w:bCs w:val="0"/>
                <w:sz w:val="22"/>
                <w:szCs w:val="22"/>
                <w:lang w:val="es-PR"/>
              </w:rPr>
              <w:t>Lista de acuerdos de traslado articulado al programa que estén vigentes, cuando sea necesario.</w:t>
            </w:r>
          </w:p>
        </w:tc>
        <w:tc>
          <w:tcPr>
            <w:tcW w:w="5390" w:type="dxa"/>
          </w:tcPr>
          <w:p w14:paraId="50FE7A00" w14:textId="77777777" w:rsidR="00361AEA" w:rsidRPr="00FD23C8" w:rsidRDefault="00361AEA" w:rsidP="00361AEA">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361AEA" w:rsidRPr="009C7254" w14:paraId="3DA4BD1D" w14:textId="77777777" w:rsidTr="00686B93">
        <w:trPr>
          <w:trHeight w:val="1142"/>
        </w:trPr>
        <w:tc>
          <w:tcPr>
            <w:cnfStyle w:val="001000000000" w:firstRow="0" w:lastRow="0" w:firstColumn="1" w:lastColumn="0" w:oddVBand="0" w:evenVBand="0" w:oddHBand="0" w:evenHBand="0" w:firstRowFirstColumn="0" w:firstRowLastColumn="0" w:lastRowFirstColumn="0" w:lastRowLastColumn="0"/>
            <w:tcW w:w="3960" w:type="dxa"/>
          </w:tcPr>
          <w:p w14:paraId="1F9EC381" w14:textId="557453C0" w:rsidR="00361AEA" w:rsidRPr="00003348" w:rsidRDefault="00361AEA" w:rsidP="00242879">
            <w:pPr>
              <w:pStyle w:val="ListParagraph"/>
              <w:numPr>
                <w:ilvl w:val="0"/>
                <w:numId w:val="4"/>
              </w:numPr>
              <w:jc w:val="both"/>
              <w:rPr>
                <w:rFonts w:ascii="Times New Roman" w:hAnsi="Times New Roman"/>
                <w:b w:val="0"/>
                <w:bCs w:val="0"/>
                <w:sz w:val="22"/>
                <w:szCs w:val="22"/>
                <w:lang w:val="es-PR"/>
              </w:rPr>
            </w:pPr>
            <w:r w:rsidRPr="00003348">
              <w:rPr>
                <w:rFonts w:ascii="Times New Roman" w:hAnsi="Times New Roman"/>
                <w:b w:val="0"/>
                <w:bCs w:val="0"/>
                <w:sz w:val="22"/>
                <w:szCs w:val="22"/>
                <w:lang w:val="es-PR"/>
              </w:rPr>
              <w:t>Plan para continuar atendiendo los estudiantes activos hasta que completen el grado incluyendo los de traslado, cuando sea necesario.</w:t>
            </w:r>
          </w:p>
        </w:tc>
        <w:tc>
          <w:tcPr>
            <w:tcW w:w="5390" w:type="dxa"/>
          </w:tcPr>
          <w:p w14:paraId="28BEE004" w14:textId="77777777" w:rsidR="00361AEA" w:rsidRPr="00FD23C8" w:rsidRDefault="00361AEA" w:rsidP="00361AEA">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FD23C8" w:rsidRPr="009C7254" w14:paraId="5CA20F24" w14:textId="77777777" w:rsidTr="00686B93">
        <w:trPr>
          <w:trHeight w:val="818"/>
        </w:trPr>
        <w:tc>
          <w:tcPr>
            <w:cnfStyle w:val="001000000000" w:firstRow="0" w:lastRow="0" w:firstColumn="1" w:lastColumn="0" w:oddVBand="0" w:evenVBand="0" w:oddHBand="0" w:evenHBand="0" w:firstRowFirstColumn="0" w:firstRowLastColumn="0" w:lastRowFirstColumn="0" w:lastRowLastColumn="0"/>
            <w:tcW w:w="3960" w:type="dxa"/>
          </w:tcPr>
          <w:p w14:paraId="5B846FCB" w14:textId="2486D213" w:rsidR="00FD23C8" w:rsidRPr="00003348" w:rsidRDefault="00FD23C8" w:rsidP="00FD23C8">
            <w:pPr>
              <w:pStyle w:val="ListParagraph"/>
              <w:numPr>
                <w:ilvl w:val="0"/>
                <w:numId w:val="4"/>
              </w:numPr>
              <w:spacing w:line="216" w:lineRule="auto"/>
              <w:jc w:val="both"/>
              <w:rPr>
                <w:rFonts w:ascii="Times New Roman" w:hAnsi="Times New Roman"/>
                <w:b w:val="0"/>
                <w:bCs w:val="0"/>
                <w:sz w:val="22"/>
                <w:szCs w:val="22"/>
                <w:lang w:val="es-PR"/>
              </w:rPr>
            </w:pPr>
            <w:r w:rsidRPr="00003348">
              <w:rPr>
                <w:rFonts w:ascii="Times New Roman" w:hAnsi="Times New Roman"/>
                <w:b w:val="0"/>
                <w:bCs w:val="0"/>
                <w:sz w:val="22"/>
                <w:szCs w:val="22"/>
                <w:lang w:val="es-PR"/>
              </w:rPr>
              <w:lastRenderedPageBreak/>
              <w:t>Plan para asegurar que los docentes con plaza de los programas completen su tarea académica.</w:t>
            </w:r>
          </w:p>
        </w:tc>
        <w:tc>
          <w:tcPr>
            <w:tcW w:w="5390" w:type="dxa"/>
          </w:tcPr>
          <w:p w14:paraId="02C1B74F" w14:textId="77777777" w:rsidR="00FD23C8" w:rsidRPr="00FD23C8" w:rsidRDefault="00FD23C8" w:rsidP="00361AEA">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9C7254" w:rsidRPr="009C7254" w14:paraId="741D5CFD" w14:textId="77777777" w:rsidTr="00003348">
        <w:trPr>
          <w:trHeight w:val="665"/>
        </w:trPr>
        <w:tc>
          <w:tcPr>
            <w:cnfStyle w:val="001000000000" w:firstRow="0" w:lastRow="0" w:firstColumn="1" w:lastColumn="0" w:oddVBand="0" w:evenVBand="0" w:oddHBand="0" w:evenHBand="0" w:firstRowFirstColumn="0" w:firstRowLastColumn="0" w:lastRowFirstColumn="0" w:lastRowLastColumn="0"/>
            <w:tcW w:w="3960" w:type="dxa"/>
          </w:tcPr>
          <w:p w14:paraId="20B62A32" w14:textId="1BA71A2B" w:rsidR="009C7254" w:rsidRPr="00003348" w:rsidRDefault="009C7254" w:rsidP="00003348">
            <w:pPr>
              <w:pStyle w:val="ListParagraph"/>
              <w:numPr>
                <w:ilvl w:val="0"/>
                <w:numId w:val="4"/>
              </w:numPr>
              <w:spacing w:after="160" w:line="259" w:lineRule="auto"/>
              <w:jc w:val="both"/>
              <w:rPr>
                <w:rFonts w:ascii="Times New Roman" w:hAnsi="Times New Roman"/>
                <w:b w:val="0"/>
                <w:bCs w:val="0"/>
                <w:sz w:val="22"/>
                <w:szCs w:val="22"/>
                <w:lang w:val="es-PR"/>
              </w:rPr>
            </w:pPr>
            <w:r w:rsidRPr="00003348">
              <w:rPr>
                <w:rFonts w:ascii="Times New Roman" w:hAnsi="Times New Roman"/>
                <w:b w:val="0"/>
                <w:bCs w:val="0"/>
                <w:sz w:val="22"/>
                <w:szCs w:val="22"/>
                <w:lang w:val="es-PR"/>
              </w:rPr>
              <w:t>Plan de evaluación del programa durante el periodo de moratoria.</w:t>
            </w:r>
          </w:p>
        </w:tc>
        <w:tc>
          <w:tcPr>
            <w:tcW w:w="5390" w:type="dxa"/>
          </w:tcPr>
          <w:p w14:paraId="077D7C7C" w14:textId="77777777" w:rsidR="009C7254" w:rsidRPr="00FD23C8" w:rsidRDefault="009C7254" w:rsidP="00361AEA">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9C7254" w:rsidRPr="009C7254" w14:paraId="28EC287F" w14:textId="77777777" w:rsidTr="00003348">
        <w:trPr>
          <w:trHeight w:val="1925"/>
        </w:trPr>
        <w:tc>
          <w:tcPr>
            <w:cnfStyle w:val="001000000000" w:firstRow="0" w:lastRow="0" w:firstColumn="1" w:lastColumn="0" w:oddVBand="0" w:evenVBand="0" w:oddHBand="0" w:evenHBand="0" w:firstRowFirstColumn="0" w:firstRowLastColumn="0" w:lastRowFirstColumn="0" w:lastRowLastColumn="0"/>
            <w:tcW w:w="3960" w:type="dxa"/>
          </w:tcPr>
          <w:p w14:paraId="6A0C7AAA" w14:textId="06DA5899" w:rsidR="009C7254" w:rsidRPr="00003348" w:rsidRDefault="009C7254" w:rsidP="00003348">
            <w:pPr>
              <w:pStyle w:val="ListParagraph"/>
              <w:numPr>
                <w:ilvl w:val="0"/>
                <w:numId w:val="4"/>
              </w:numPr>
              <w:jc w:val="both"/>
              <w:rPr>
                <w:rFonts w:ascii="Times New Roman" w:hAnsi="Times New Roman"/>
                <w:b w:val="0"/>
                <w:bCs w:val="0"/>
                <w:sz w:val="22"/>
                <w:szCs w:val="22"/>
                <w:lang w:val="es-PR"/>
              </w:rPr>
            </w:pPr>
            <w:r w:rsidRPr="00003348">
              <w:rPr>
                <w:rFonts w:ascii="Times New Roman" w:eastAsia="Overlock" w:hAnsi="Times New Roman"/>
                <w:b w:val="0"/>
                <w:bCs w:val="0"/>
                <w:sz w:val="22"/>
                <w:szCs w:val="22"/>
                <w:lang w:val="es-PR"/>
              </w:rPr>
              <w:t>En el caso de notificaciones de moratoria, la lista de cursos únicos en el Sistema UPR que formen parte del currículo que podrían inactivarse en el Archivo Maestro de Cursos de la VPAAI</w:t>
            </w:r>
            <w:r w:rsidRPr="00003348" w:rsidDel="00D3495B">
              <w:rPr>
                <w:rFonts w:ascii="Times New Roman" w:eastAsia="Overlock" w:hAnsi="Times New Roman"/>
                <w:b w:val="0"/>
                <w:bCs w:val="0"/>
                <w:sz w:val="22"/>
                <w:szCs w:val="22"/>
                <w:lang w:val="es-PR"/>
              </w:rPr>
              <w:t xml:space="preserve"> </w:t>
            </w:r>
            <w:r w:rsidRPr="00003348">
              <w:rPr>
                <w:rFonts w:ascii="Times New Roman" w:eastAsia="Overlock" w:hAnsi="Times New Roman"/>
                <w:b w:val="0"/>
                <w:bCs w:val="0"/>
                <w:sz w:val="22"/>
                <w:szCs w:val="22"/>
                <w:lang w:val="es-PR"/>
              </w:rPr>
              <w:t>una vez cese la oferta del programa.</w:t>
            </w:r>
          </w:p>
        </w:tc>
        <w:tc>
          <w:tcPr>
            <w:tcW w:w="5390" w:type="dxa"/>
          </w:tcPr>
          <w:p w14:paraId="7BCAAA17" w14:textId="77777777" w:rsidR="009C7254" w:rsidRPr="00FD23C8" w:rsidRDefault="009C7254" w:rsidP="00361AEA">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361AEA" w:rsidRPr="009C7254" w14:paraId="2306E8C8" w14:textId="77777777" w:rsidTr="00686B93">
        <w:trPr>
          <w:trHeight w:val="1673"/>
        </w:trPr>
        <w:tc>
          <w:tcPr>
            <w:cnfStyle w:val="001000000000" w:firstRow="0" w:lastRow="0" w:firstColumn="1" w:lastColumn="0" w:oddVBand="0" w:evenVBand="0" w:oddHBand="0" w:evenHBand="0" w:firstRowFirstColumn="0" w:firstRowLastColumn="0" w:lastRowFirstColumn="0" w:lastRowLastColumn="0"/>
            <w:tcW w:w="3960" w:type="dxa"/>
          </w:tcPr>
          <w:p w14:paraId="6C0A7D57" w14:textId="6335EA02" w:rsidR="00361AEA" w:rsidRPr="00003348" w:rsidRDefault="00361AEA" w:rsidP="00242879">
            <w:pPr>
              <w:pStyle w:val="ListParagraph"/>
              <w:numPr>
                <w:ilvl w:val="0"/>
                <w:numId w:val="4"/>
              </w:numPr>
              <w:jc w:val="both"/>
              <w:rPr>
                <w:rFonts w:ascii="Times New Roman" w:hAnsi="Times New Roman"/>
                <w:b w:val="0"/>
                <w:bCs w:val="0"/>
                <w:sz w:val="22"/>
                <w:szCs w:val="22"/>
                <w:lang w:val="es-PR"/>
              </w:rPr>
            </w:pPr>
            <w:r w:rsidRPr="00003348">
              <w:rPr>
                <w:rFonts w:ascii="Times New Roman" w:hAnsi="Times New Roman"/>
                <w:b w:val="0"/>
                <w:bCs w:val="0"/>
                <w:sz w:val="22"/>
                <w:szCs w:val="22"/>
                <w:lang w:val="es-PR"/>
              </w:rPr>
              <w:t xml:space="preserve">Descripción de las acciones que se llevarán a cabo para dar conocimiento de la moratoria o inactivación del ofrecimiento, actualizar los materiales de divulgación de la unidad y del Sistema, y otras gestiones pertinentes </w:t>
            </w:r>
          </w:p>
        </w:tc>
        <w:tc>
          <w:tcPr>
            <w:tcW w:w="5390" w:type="dxa"/>
          </w:tcPr>
          <w:p w14:paraId="69775BBA" w14:textId="77777777" w:rsidR="00361AEA" w:rsidRPr="00FD23C8" w:rsidRDefault="00361AEA" w:rsidP="00361AEA">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r w:rsidR="00361AEA" w:rsidRPr="009C7254" w14:paraId="52BF98CC" w14:textId="77777777" w:rsidTr="00003348">
        <w:trPr>
          <w:trHeight w:val="1637"/>
        </w:trPr>
        <w:tc>
          <w:tcPr>
            <w:cnfStyle w:val="001000000000" w:firstRow="0" w:lastRow="0" w:firstColumn="1" w:lastColumn="0" w:oddVBand="0" w:evenVBand="0" w:oddHBand="0" w:evenHBand="0" w:firstRowFirstColumn="0" w:firstRowLastColumn="0" w:lastRowFirstColumn="0" w:lastRowLastColumn="0"/>
            <w:tcW w:w="3960" w:type="dxa"/>
          </w:tcPr>
          <w:p w14:paraId="7D33853E" w14:textId="6741116E" w:rsidR="00361AEA" w:rsidRPr="00003348" w:rsidRDefault="00361AEA" w:rsidP="00242879">
            <w:pPr>
              <w:pStyle w:val="ListParagraph"/>
              <w:numPr>
                <w:ilvl w:val="0"/>
                <w:numId w:val="4"/>
              </w:numPr>
              <w:jc w:val="both"/>
              <w:rPr>
                <w:rFonts w:ascii="Times New Roman" w:hAnsi="Times New Roman"/>
                <w:b w:val="0"/>
                <w:bCs w:val="0"/>
                <w:sz w:val="22"/>
                <w:szCs w:val="22"/>
                <w:lang w:val="es-PR"/>
              </w:rPr>
            </w:pPr>
            <w:r w:rsidRPr="00003348">
              <w:rPr>
                <w:rFonts w:ascii="Times New Roman" w:hAnsi="Times New Roman"/>
                <w:b w:val="0"/>
                <w:bCs w:val="0"/>
                <w:sz w:val="22"/>
                <w:szCs w:val="22"/>
                <w:lang w:val="es-PR"/>
              </w:rPr>
              <w:t>Otras medidas necesarias para asegurar que los estudiantes, la comunidad y el interés público general se afecten lo menos posible por causa de la moratoria o inactivación de los ofrecimientos.</w:t>
            </w:r>
          </w:p>
        </w:tc>
        <w:tc>
          <w:tcPr>
            <w:tcW w:w="5390" w:type="dxa"/>
          </w:tcPr>
          <w:p w14:paraId="3C8B9AD4" w14:textId="77777777" w:rsidR="00361AEA" w:rsidRPr="00FD23C8" w:rsidRDefault="00361AEA" w:rsidP="00361AEA">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R"/>
              </w:rPr>
            </w:pPr>
          </w:p>
        </w:tc>
      </w:tr>
    </w:tbl>
    <w:p w14:paraId="36893DBE" w14:textId="0A008F6B" w:rsidR="00607DA4" w:rsidRDefault="00607DA4" w:rsidP="00607DA4">
      <w:pPr>
        <w:rPr>
          <w:rFonts w:ascii="Times New Roman" w:hAnsi="Times New Roman"/>
          <w:lang w:val="es-PR"/>
        </w:rPr>
      </w:pPr>
    </w:p>
    <w:sectPr w:rsidR="00607DA4" w:rsidSect="00061263">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D55B" w14:textId="77777777" w:rsidR="00B257F5" w:rsidRDefault="00B257F5" w:rsidP="00061263">
      <w:pPr>
        <w:spacing w:after="0" w:line="240" w:lineRule="auto"/>
      </w:pPr>
      <w:r>
        <w:separator/>
      </w:r>
    </w:p>
  </w:endnote>
  <w:endnote w:type="continuationSeparator" w:id="0">
    <w:p w14:paraId="450E3B26" w14:textId="77777777" w:rsidR="00B257F5" w:rsidRDefault="00B257F5" w:rsidP="0006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verlock">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073E" w14:textId="77777777" w:rsidR="00B257F5" w:rsidRDefault="00B257F5" w:rsidP="00061263">
      <w:pPr>
        <w:spacing w:after="0" w:line="240" w:lineRule="auto"/>
      </w:pPr>
      <w:r>
        <w:separator/>
      </w:r>
    </w:p>
  </w:footnote>
  <w:footnote w:type="continuationSeparator" w:id="0">
    <w:p w14:paraId="5B742D07" w14:textId="77777777" w:rsidR="00B257F5" w:rsidRDefault="00B257F5" w:rsidP="00061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EF14" w14:textId="02F0E0A3" w:rsidR="00003348" w:rsidRPr="00003348" w:rsidRDefault="00003348">
    <w:pPr>
      <w:pStyle w:val="Header"/>
      <w:rPr>
        <w:rFonts w:ascii="Times New Roman" w:hAnsi="Times New Roman"/>
        <w:i/>
        <w:iCs/>
        <w:sz w:val="20"/>
        <w:szCs w:val="20"/>
        <w:lang w:val="es-PR"/>
      </w:rPr>
    </w:pPr>
    <w:r w:rsidRPr="00003348">
      <w:rPr>
        <w:rFonts w:ascii="Times New Roman" w:hAnsi="Times New Roman"/>
        <w:i/>
        <w:iCs/>
        <w:sz w:val="20"/>
        <w:szCs w:val="20"/>
        <w:lang w:val="es-PR"/>
      </w:rPr>
      <w:t>Plantilla para declarar un programa académico inactivo, en moratoria o cierre</w:t>
    </w:r>
  </w:p>
  <w:p w14:paraId="6DE67A8B" w14:textId="4A6A054C" w:rsidR="00003348" w:rsidRPr="00003348" w:rsidRDefault="00003348">
    <w:pPr>
      <w:pStyle w:val="Header"/>
      <w:rPr>
        <w:rFonts w:ascii="Times New Roman" w:hAnsi="Times New Roman"/>
        <w:sz w:val="20"/>
        <w:szCs w:val="20"/>
        <w:lang w:val="es-PR"/>
      </w:rPr>
    </w:pPr>
    <w:r w:rsidRPr="00003348">
      <w:rPr>
        <w:rFonts w:ascii="Times New Roman" w:hAnsi="Times New Roman"/>
        <w:sz w:val="20"/>
        <w:szCs w:val="20"/>
        <w:lang w:val="es-PR"/>
      </w:rPr>
      <w:t xml:space="preserve">Página </w:t>
    </w:r>
    <w:r w:rsidRPr="00003348">
      <w:rPr>
        <w:rFonts w:ascii="Times New Roman" w:hAnsi="Times New Roman"/>
        <w:sz w:val="20"/>
        <w:szCs w:val="20"/>
        <w:lang w:val="es-PR"/>
      </w:rPr>
      <w:fldChar w:fldCharType="begin"/>
    </w:r>
    <w:r w:rsidRPr="00003348">
      <w:rPr>
        <w:rFonts w:ascii="Times New Roman" w:hAnsi="Times New Roman"/>
        <w:sz w:val="20"/>
        <w:szCs w:val="20"/>
        <w:lang w:val="es-PR"/>
      </w:rPr>
      <w:instrText xml:space="preserve"> PAGE   \* MERGEFORMAT </w:instrText>
    </w:r>
    <w:r w:rsidRPr="00003348">
      <w:rPr>
        <w:rFonts w:ascii="Times New Roman" w:hAnsi="Times New Roman"/>
        <w:sz w:val="20"/>
        <w:szCs w:val="20"/>
        <w:lang w:val="es-PR"/>
      </w:rPr>
      <w:fldChar w:fldCharType="separate"/>
    </w:r>
    <w:r w:rsidRPr="00003348">
      <w:rPr>
        <w:rFonts w:ascii="Times New Roman" w:hAnsi="Times New Roman"/>
        <w:noProof/>
        <w:sz w:val="20"/>
        <w:szCs w:val="20"/>
        <w:lang w:val="es-PR"/>
      </w:rPr>
      <w:t>1</w:t>
    </w:r>
    <w:r w:rsidRPr="00003348">
      <w:rPr>
        <w:rFonts w:ascii="Times New Roman" w:hAnsi="Times New Roman"/>
        <w:noProof/>
        <w:sz w:val="20"/>
        <w:szCs w:val="20"/>
        <w:lang w:val="es-P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8221" w14:textId="4017539F" w:rsidR="00003348" w:rsidRDefault="00003348" w:rsidP="00003348">
    <w:pPr>
      <w:spacing w:before="120" w:line="240" w:lineRule="auto"/>
      <w:rPr>
        <w:rFonts w:ascii="Segoe Script" w:hAnsi="Segoe Script" w:cs="Kartika"/>
        <w:b/>
        <w:sz w:val="18"/>
        <w:lang w:val="es-PR"/>
      </w:rPr>
    </w:pPr>
    <w:r w:rsidRPr="00D45B0B">
      <w:rPr>
        <w:rFonts w:ascii="Calibri" w:hAnsi="Calibri" w:cs="Calibri"/>
        <w:noProof/>
        <w:color w:val="C00000"/>
      </w:rPr>
      <w:drawing>
        <wp:anchor distT="0" distB="0" distL="114300" distR="114300" simplePos="0" relativeHeight="251661312" behindDoc="0" locked="0" layoutInCell="1" allowOverlap="1" wp14:anchorId="743CBE86" wp14:editId="35B33EA5">
          <wp:simplePos x="0" y="0"/>
          <wp:positionH relativeFrom="margin">
            <wp:align>center</wp:align>
          </wp:positionH>
          <wp:positionV relativeFrom="paragraph">
            <wp:posOffset>-11430</wp:posOffset>
          </wp:positionV>
          <wp:extent cx="900430" cy="352425"/>
          <wp:effectExtent l="0" t="0" r="0" b="9525"/>
          <wp:wrapTight wrapText="bothSides">
            <wp:wrapPolygon edited="0">
              <wp:start x="0" y="0"/>
              <wp:lineTo x="0" y="21016"/>
              <wp:lineTo x="21021" y="21016"/>
              <wp:lineTo x="210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0430" cy="352425"/>
                  </a:xfrm>
                  <a:prstGeom prst="rect">
                    <a:avLst/>
                  </a:prstGeom>
                  <a:noFill/>
                </pic:spPr>
              </pic:pic>
            </a:graphicData>
          </a:graphic>
          <wp14:sizeRelH relativeFrom="page">
            <wp14:pctWidth>0</wp14:pctWidth>
          </wp14:sizeRelH>
          <wp14:sizeRelV relativeFrom="page">
            <wp14:pctHeight>0</wp14:pctHeight>
          </wp14:sizeRelV>
        </wp:anchor>
      </w:drawing>
    </w:r>
  </w:p>
  <w:p w14:paraId="4DDF6DBB" w14:textId="6D21ADD9" w:rsidR="00061263" w:rsidRPr="00795CE7" w:rsidRDefault="00061263" w:rsidP="00003348">
    <w:pPr>
      <w:pBdr>
        <w:top w:val="single" w:sz="4" w:space="1" w:color="auto"/>
      </w:pBdr>
      <w:spacing w:before="240" w:after="0" w:line="240" w:lineRule="auto"/>
      <w:jc w:val="center"/>
      <w:rPr>
        <w:rFonts w:ascii="Segoe Script" w:hAnsi="Segoe Script" w:cs="Kartika"/>
        <w:b/>
        <w:sz w:val="18"/>
        <w:lang w:val="es-PR"/>
      </w:rPr>
    </w:pPr>
    <w:r w:rsidRPr="00795CE7">
      <w:rPr>
        <w:rFonts w:ascii="Segoe Script" w:hAnsi="Segoe Script" w:cs="Kartika"/>
        <w:b/>
        <w:sz w:val="18"/>
        <w:lang w:val="es-PR"/>
      </w:rPr>
      <w:t xml:space="preserve">Vicepresidencia </w:t>
    </w:r>
    <w:r>
      <w:rPr>
        <w:rFonts w:ascii="Segoe Script" w:hAnsi="Segoe Script" w:cs="Kartika"/>
        <w:b/>
        <w:sz w:val="18"/>
        <w:lang w:val="es-PR"/>
      </w:rPr>
      <w:t>de</w:t>
    </w:r>
    <w:r w:rsidRPr="00795CE7">
      <w:rPr>
        <w:rFonts w:ascii="Segoe Script" w:hAnsi="Segoe Script" w:cs="Kartika"/>
        <w:b/>
        <w:sz w:val="18"/>
        <w:lang w:val="es-PR"/>
      </w:rPr>
      <w:t xml:space="preserve"> Asuntos Académicos</w:t>
    </w:r>
    <w:r>
      <w:rPr>
        <w:rFonts w:ascii="Segoe Script" w:hAnsi="Segoe Script" w:cs="Kartika"/>
        <w:b/>
        <w:sz w:val="18"/>
        <w:lang w:val="es-PR"/>
      </w:rPr>
      <w:t xml:space="preserve"> 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249"/>
    <w:multiLevelType w:val="hybridMultilevel"/>
    <w:tmpl w:val="729A1F14"/>
    <w:lvl w:ilvl="0" w:tplc="8BE09EFE">
      <w:start w:val="1"/>
      <w:numFmt w:val="decimal"/>
      <w:lvlText w:val="%1."/>
      <w:lvlJc w:val="left"/>
      <w:pPr>
        <w:ind w:left="720" w:hanging="360"/>
      </w:pPr>
      <w:rPr>
        <w:rFonts w:ascii="Times New Roman" w:eastAsia="Times New Roman" w:hAnsi="Times New Roman" w:cs="Times New Roman" w:hint="default"/>
        <w:w w:val="100"/>
        <w:sz w:val="18"/>
        <w:szCs w:val="18"/>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58C9"/>
    <w:multiLevelType w:val="hybridMultilevel"/>
    <w:tmpl w:val="E02C7BB2"/>
    <w:lvl w:ilvl="0" w:tplc="04090017">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403287"/>
    <w:multiLevelType w:val="hybridMultilevel"/>
    <w:tmpl w:val="C010C2D2"/>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653513"/>
    <w:multiLevelType w:val="hybridMultilevel"/>
    <w:tmpl w:val="DB38ADCC"/>
    <w:lvl w:ilvl="0" w:tplc="500A0017">
      <w:start w:val="2"/>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2537676F"/>
    <w:multiLevelType w:val="hybridMultilevel"/>
    <w:tmpl w:val="649C2EA4"/>
    <w:lvl w:ilvl="0" w:tplc="8C200CE4">
      <w:start w:val="5"/>
      <w:numFmt w:val="decimal"/>
      <w:lvlText w:val="%1."/>
      <w:lvlJc w:val="left"/>
      <w:pPr>
        <w:ind w:left="360" w:hanging="360"/>
      </w:pPr>
      <w:rPr>
        <w:rFonts w:ascii="Times New Roman" w:eastAsia="Times New Roman" w:hAnsi="Times New Roman" w:cs="Times New Roman" w:hint="default"/>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150A98"/>
    <w:multiLevelType w:val="hybridMultilevel"/>
    <w:tmpl w:val="EB84C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54010"/>
    <w:multiLevelType w:val="hybridMultilevel"/>
    <w:tmpl w:val="2A18523A"/>
    <w:lvl w:ilvl="0" w:tplc="1CCAB56A">
      <w:start w:val="1"/>
      <w:numFmt w:val="lowerLetter"/>
      <w:lvlText w:val="%1)"/>
      <w:lvlJc w:val="left"/>
      <w:pPr>
        <w:ind w:left="1785" w:hanging="360"/>
      </w:pPr>
      <w:rPr>
        <w:rFonts w:hint="default"/>
      </w:rPr>
    </w:lvl>
    <w:lvl w:ilvl="1" w:tplc="500A0019" w:tentative="1">
      <w:start w:val="1"/>
      <w:numFmt w:val="lowerLetter"/>
      <w:lvlText w:val="%2."/>
      <w:lvlJc w:val="left"/>
      <w:pPr>
        <w:ind w:left="2505" w:hanging="360"/>
      </w:pPr>
    </w:lvl>
    <w:lvl w:ilvl="2" w:tplc="500A001B" w:tentative="1">
      <w:start w:val="1"/>
      <w:numFmt w:val="lowerRoman"/>
      <w:lvlText w:val="%3."/>
      <w:lvlJc w:val="right"/>
      <w:pPr>
        <w:ind w:left="3225" w:hanging="180"/>
      </w:pPr>
    </w:lvl>
    <w:lvl w:ilvl="3" w:tplc="500A000F" w:tentative="1">
      <w:start w:val="1"/>
      <w:numFmt w:val="decimal"/>
      <w:lvlText w:val="%4."/>
      <w:lvlJc w:val="left"/>
      <w:pPr>
        <w:ind w:left="3945" w:hanging="360"/>
      </w:pPr>
    </w:lvl>
    <w:lvl w:ilvl="4" w:tplc="500A0019" w:tentative="1">
      <w:start w:val="1"/>
      <w:numFmt w:val="lowerLetter"/>
      <w:lvlText w:val="%5."/>
      <w:lvlJc w:val="left"/>
      <w:pPr>
        <w:ind w:left="4665" w:hanging="360"/>
      </w:pPr>
    </w:lvl>
    <w:lvl w:ilvl="5" w:tplc="500A001B" w:tentative="1">
      <w:start w:val="1"/>
      <w:numFmt w:val="lowerRoman"/>
      <w:lvlText w:val="%6."/>
      <w:lvlJc w:val="right"/>
      <w:pPr>
        <w:ind w:left="5385" w:hanging="180"/>
      </w:pPr>
    </w:lvl>
    <w:lvl w:ilvl="6" w:tplc="500A000F" w:tentative="1">
      <w:start w:val="1"/>
      <w:numFmt w:val="decimal"/>
      <w:lvlText w:val="%7."/>
      <w:lvlJc w:val="left"/>
      <w:pPr>
        <w:ind w:left="6105" w:hanging="360"/>
      </w:pPr>
    </w:lvl>
    <w:lvl w:ilvl="7" w:tplc="500A0019" w:tentative="1">
      <w:start w:val="1"/>
      <w:numFmt w:val="lowerLetter"/>
      <w:lvlText w:val="%8."/>
      <w:lvlJc w:val="left"/>
      <w:pPr>
        <w:ind w:left="6825" w:hanging="360"/>
      </w:pPr>
    </w:lvl>
    <w:lvl w:ilvl="8" w:tplc="500A001B" w:tentative="1">
      <w:start w:val="1"/>
      <w:numFmt w:val="lowerRoman"/>
      <w:lvlText w:val="%9."/>
      <w:lvlJc w:val="right"/>
      <w:pPr>
        <w:ind w:left="7545" w:hanging="180"/>
      </w:pPr>
    </w:lvl>
  </w:abstractNum>
  <w:abstractNum w:abstractNumId="7" w15:restartNumberingAfterBreak="0">
    <w:nsid w:val="44787B31"/>
    <w:multiLevelType w:val="hybridMultilevel"/>
    <w:tmpl w:val="C636A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D7895"/>
    <w:multiLevelType w:val="hybridMultilevel"/>
    <w:tmpl w:val="F35A8396"/>
    <w:lvl w:ilvl="0" w:tplc="3752CAFE">
      <w:start w:val="1"/>
      <w:numFmt w:val="lowerLetter"/>
      <w:lvlText w:val="%1."/>
      <w:lvlJc w:val="left"/>
      <w:pPr>
        <w:ind w:left="1425" w:hanging="360"/>
      </w:pPr>
      <w:rPr>
        <w:rFonts w:hint="default"/>
      </w:rPr>
    </w:lvl>
    <w:lvl w:ilvl="1" w:tplc="500A0019" w:tentative="1">
      <w:start w:val="1"/>
      <w:numFmt w:val="lowerLetter"/>
      <w:lvlText w:val="%2."/>
      <w:lvlJc w:val="left"/>
      <w:pPr>
        <w:ind w:left="2145" w:hanging="360"/>
      </w:pPr>
    </w:lvl>
    <w:lvl w:ilvl="2" w:tplc="500A001B" w:tentative="1">
      <w:start w:val="1"/>
      <w:numFmt w:val="lowerRoman"/>
      <w:lvlText w:val="%3."/>
      <w:lvlJc w:val="right"/>
      <w:pPr>
        <w:ind w:left="2865" w:hanging="180"/>
      </w:pPr>
    </w:lvl>
    <w:lvl w:ilvl="3" w:tplc="500A000F" w:tentative="1">
      <w:start w:val="1"/>
      <w:numFmt w:val="decimal"/>
      <w:lvlText w:val="%4."/>
      <w:lvlJc w:val="left"/>
      <w:pPr>
        <w:ind w:left="3585" w:hanging="360"/>
      </w:pPr>
    </w:lvl>
    <w:lvl w:ilvl="4" w:tplc="500A0019" w:tentative="1">
      <w:start w:val="1"/>
      <w:numFmt w:val="lowerLetter"/>
      <w:lvlText w:val="%5."/>
      <w:lvlJc w:val="left"/>
      <w:pPr>
        <w:ind w:left="4305" w:hanging="360"/>
      </w:pPr>
    </w:lvl>
    <w:lvl w:ilvl="5" w:tplc="500A001B" w:tentative="1">
      <w:start w:val="1"/>
      <w:numFmt w:val="lowerRoman"/>
      <w:lvlText w:val="%6."/>
      <w:lvlJc w:val="right"/>
      <w:pPr>
        <w:ind w:left="5025" w:hanging="180"/>
      </w:pPr>
    </w:lvl>
    <w:lvl w:ilvl="6" w:tplc="500A000F" w:tentative="1">
      <w:start w:val="1"/>
      <w:numFmt w:val="decimal"/>
      <w:lvlText w:val="%7."/>
      <w:lvlJc w:val="left"/>
      <w:pPr>
        <w:ind w:left="5745" w:hanging="360"/>
      </w:pPr>
    </w:lvl>
    <w:lvl w:ilvl="7" w:tplc="500A0019" w:tentative="1">
      <w:start w:val="1"/>
      <w:numFmt w:val="lowerLetter"/>
      <w:lvlText w:val="%8."/>
      <w:lvlJc w:val="left"/>
      <w:pPr>
        <w:ind w:left="6465" w:hanging="360"/>
      </w:pPr>
    </w:lvl>
    <w:lvl w:ilvl="8" w:tplc="500A001B" w:tentative="1">
      <w:start w:val="1"/>
      <w:numFmt w:val="lowerRoman"/>
      <w:lvlText w:val="%9."/>
      <w:lvlJc w:val="right"/>
      <w:pPr>
        <w:ind w:left="7185" w:hanging="180"/>
      </w:pPr>
    </w:lvl>
  </w:abstractNum>
  <w:abstractNum w:abstractNumId="9" w15:restartNumberingAfterBreak="0">
    <w:nsid w:val="655C46DB"/>
    <w:multiLevelType w:val="multilevel"/>
    <w:tmpl w:val="1E9EF056"/>
    <w:lvl w:ilvl="0">
      <w:start w:val="1"/>
      <w:numFmt w:val="decimal"/>
      <w:lvlText w:val="%1."/>
      <w:lvlJc w:val="left"/>
      <w:pPr>
        <w:ind w:left="720" w:hanging="360"/>
      </w:pPr>
      <w:rPr>
        <w:rFonts w:ascii="Times New Roman" w:hAnsi="Times New Roman" w:hint="default"/>
        <w:sz w:val="22"/>
        <w:szCs w:val="16"/>
      </w:rPr>
    </w:lvl>
    <w:lvl w:ilvl="1">
      <w:start w:val="1"/>
      <w:numFmt w:val="decimal"/>
      <w:lvlText w:val="%2)"/>
      <w:lvlJc w:val="left"/>
      <w:pPr>
        <w:ind w:left="1440" w:hanging="360"/>
      </w:pPr>
      <w:rPr>
        <w:rFonts w:asciiTheme="minorHAnsi" w:eastAsia="Overlock" w:hAnsiTheme="minorHAnsi" w:cstheme="minorBid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1921982">
    <w:abstractNumId w:val="2"/>
  </w:num>
  <w:num w:numId="2" w16cid:durableId="994332558">
    <w:abstractNumId w:val="1"/>
  </w:num>
  <w:num w:numId="3" w16cid:durableId="316495350">
    <w:abstractNumId w:val="0"/>
  </w:num>
  <w:num w:numId="4" w16cid:durableId="1867792098">
    <w:abstractNumId w:val="4"/>
  </w:num>
  <w:num w:numId="5" w16cid:durableId="2124302018">
    <w:abstractNumId w:val="5"/>
  </w:num>
  <w:num w:numId="6" w16cid:durableId="290748426">
    <w:abstractNumId w:val="9"/>
  </w:num>
  <w:num w:numId="7" w16cid:durableId="1735078255">
    <w:abstractNumId w:val="7"/>
  </w:num>
  <w:num w:numId="8" w16cid:durableId="703479038">
    <w:abstractNumId w:val="8"/>
  </w:num>
  <w:num w:numId="9" w16cid:durableId="740836308">
    <w:abstractNumId w:val="3"/>
  </w:num>
  <w:num w:numId="10" w16cid:durableId="16960352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A4"/>
    <w:rsid w:val="00003348"/>
    <w:rsid w:val="00061263"/>
    <w:rsid w:val="000910F9"/>
    <w:rsid w:val="00242879"/>
    <w:rsid w:val="00361AEA"/>
    <w:rsid w:val="00607DA4"/>
    <w:rsid w:val="00686B93"/>
    <w:rsid w:val="007F56B7"/>
    <w:rsid w:val="008305D2"/>
    <w:rsid w:val="00854713"/>
    <w:rsid w:val="0096657C"/>
    <w:rsid w:val="009C7254"/>
    <w:rsid w:val="00A2219E"/>
    <w:rsid w:val="00B257F5"/>
    <w:rsid w:val="00BC2EB4"/>
    <w:rsid w:val="00E649F0"/>
    <w:rsid w:val="00F925A9"/>
    <w:rsid w:val="00FD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0F2FF"/>
  <w15:chartTrackingRefBased/>
  <w15:docId w15:val="{5BCD5D92-C81C-40FB-8872-BDACCC42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AEA"/>
    <w:pPr>
      <w:ind w:left="720"/>
      <w:contextualSpacing/>
    </w:pPr>
  </w:style>
  <w:style w:type="table" w:styleId="GridTable1Light">
    <w:name w:val="Grid Table 1 Light"/>
    <w:basedOn w:val="TableNormal"/>
    <w:uiPriority w:val="46"/>
    <w:rsid w:val="00FD23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23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86B93"/>
    <w:rPr>
      <w:sz w:val="16"/>
      <w:szCs w:val="16"/>
    </w:rPr>
  </w:style>
  <w:style w:type="paragraph" w:styleId="CommentText">
    <w:name w:val="annotation text"/>
    <w:basedOn w:val="Normal"/>
    <w:link w:val="CommentTextChar"/>
    <w:uiPriority w:val="99"/>
    <w:unhideWhenUsed/>
    <w:rsid w:val="00686B93"/>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686B93"/>
    <w:rPr>
      <w:rFonts w:ascii="Arial" w:eastAsia="Arial" w:hAnsi="Arial" w:cs="Arial"/>
      <w:sz w:val="20"/>
      <w:szCs w:val="20"/>
    </w:rPr>
  </w:style>
  <w:style w:type="table" w:styleId="GridTable1Light-Accent1">
    <w:name w:val="Grid Table 1 Light Accent 1"/>
    <w:basedOn w:val="TableNormal"/>
    <w:uiPriority w:val="46"/>
    <w:rsid w:val="00686B9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6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63"/>
  </w:style>
  <w:style w:type="paragraph" w:styleId="Footer">
    <w:name w:val="footer"/>
    <w:basedOn w:val="Normal"/>
    <w:link w:val="FooterChar"/>
    <w:uiPriority w:val="99"/>
    <w:unhideWhenUsed/>
    <w:rsid w:val="0006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 Falcón Emanuelli</dc:creator>
  <cp:keywords/>
  <dc:description/>
  <cp:lastModifiedBy>Anna I. Alvarez Castro</cp:lastModifiedBy>
  <cp:revision>2</cp:revision>
  <cp:lastPrinted>2022-11-07T18:25:00Z</cp:lastPrinted>
  <dcterms:created xsi:type="dcterms:W3CDTF">2023-03-29T15:16:00Z</dcterms:created>
  <dcterms:modified xsi:type="dcterms:W3CDTF">2023-03-29T15:16:00Z</dcterms:modified>
</cp:coreProperties>
</file>